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7月28日每日一练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1.下列说法不正确的是(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A.教育将随国家的消亡而消亡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9.01pt">
                  <v:imagedata r:id="rId4" o:title=""/>
                </v:shape>
              </w:pict>
            </w:r>
            <w:r>
              <w:pict>
                <v:shape id="_x0000_i1026" type="#_x0000_t75" style="height:9pt;width:37.51pt">
                  <v:imagedata r:id="rId5" o:title=""/>
                </v:shape>
              </w:pict>
            </w:r>
            <w:r>
              <w:t>65.28%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B.一个国家或民族的教育常常表现出自身的历史继承性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.25pt">
                  <v:imagedata r:id="rId6" o:title=""/>
                </v:shape>
              </w:pict>
            </w:r>
            <w:r>
              <w:pict>
                <v:shape id="_x0000_i1028" type="#_x0000_t75" style="height:9pt;width:98.26pt">
                  <v:imagedata r:id="rId7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C.教育常常超前或滞后于社会政治经济发展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.25pt">
                  <v:imagedata r:id="rId6" o:title=""/>
                </v:shape>
              </w:pict>
            </w:r>
            <w:r>
              <w:pict>
                <v:shape id="_x0000_i1030" type="#_x0000_t75" style="height:9pt;width:98.26pt">
                  <v:imagedata r:id="rId7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D.教育现象最早出现于原始社会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8.75pt">
                  <v:imagedata r:id="rId8" o:title=""/>
                </v:shape>
              </w:pict>
            </w:r>
            <w:r>
              <w:pict>
                <v:shape id="_x0000_i1032" type="#_x0000_t75" style="height:9pt;width:87.76pt">
                  <v:imagedata r:id="rId9" o:title=""/>
                </v:shape>
              </w:pict>
            </w:r>
            <w:r>
              <w:t>18.06%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65.28%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2.我国唐代设立“六学二馆”主要反映了古代教育的(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A.阶级性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51.76pt">
                  <v:imagedata r:id="rId10" o:title=""/>
                </v:shape>
              </w:pict>
            </w:r>
            <w:r>
              <w:pict>
                <v:shape id="_x0000_i1034" type="#_x0000_t75" style="height:9pt;width:54.76pt">
                  <v:imagedata r:id="rId11" o:title=""/>
                </v:shape>
              </w:pict>
            </w:r>
            <w:r>
              <w:t>48.61%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B.等级性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4.26pt">
                  <v:imagedata r:id="rId12" o:title=""/>
                </v:shape>
              </w:pict>
            </w:r>
            <w:r>
              <w:pict>
                <v:shape id="_x0000_i1036" type="#_x0000_t75" style="height:9pt;width:62.26pt">
                  <v:imagedata r:id="rId13" o:title=""/>
                </v:shape>
              </w:pict>
            </w:r>
            <w:r>
              <w:t>41.67%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C.宗教性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.75pt">
                  <v:imagedata r:id="rId14" o:title=""/>
                </v:shape>
              </w:pict>
            </w:r>
            <w:r>
              <w:pict>
                <v:shape id="_x0000_i1038" type="#_x0000_t75" style="height:9pt;width:102.76pt">
                  <v:imagedata r:id="rId15" o:title=""/>
                </v:shape>
              </w:pict>
            </w:r>
            <w:r>
              <w:t>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D.民主性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.25pt">
                  <v:imagedata r:id="rId16" o:title=""/>
                </v:shape>
              </w:pict>
            </w:r>
            <w:r>
              <w:pict>
                <v:shape id="_x0000_i1040" type="#_x0000_t75" style="height:9pt;width:101.26pt">
                  <v:imagedata r:id="rId17" o:title=""/>
                </v:shape>
              </w:pict>
            </w:r>
            <w:r>
              <w:t>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3.判断一个教师成熟的主要因素是(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A.能否更多的考虑课堂管理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.75pt">
                  <v:imagedata r:id="rId18" o:title=""/>
                </v:shape>
              </w:pict>
            </w:r>
            <w:r>
              <w:pict>
                <v:shape id="_x0000_i1042" type="#_x0000_t75" style="height:9pt;width:99.76pt">
                  <v:imagedata r:id="rId19" o:title=""/>
                </v:shape>
              </w:pict>
            </w:r>
            <w:r>
              <w:t>6.94%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B.能否过多考虑教学环境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.25pt">
                  <v:imagedata r:id="rId16" o:title=""/>
                </v:shape>
              </w:pict>
            </w:r>
            <w:r>
              <w:pict>
                <v:shape id="_x0000_i1044" type="#_x0000_t75" style="height:9pt;width:101.26pt">
                  <v:imagedata r:id="rId17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C.能否关注自身的生存情况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.25pt">
                  <v:imagedata r:id="rId20" o:title=""/>
                </v:shape>
              </w:pict>
            </w:r>
            <w:r>
              <w:pict>
                <v:shape id="_x0000_i1046" type="#_x0000_t75" style="height:9pt;width:104.26pt">
                  <v:imagedata r:id="rId21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D.能否自觉关注学生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90.01pt">
                  <v:imagedata r:id="rId22" o:title=""/>
                </v:shape>
              </w:pict>
            </w:r>
            <w:r>
              <w:pict>
                <v:shape id="_x0000_i1048" type="#_x0000_t75" style="height:9pt;width:16.5pt">
                  <v:imagedata r:id="rId23" o:title=""/>
                </v:shape>
              </w:pict>
            </w:r>
            <w:r>
              <w:t>84.72%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84.72%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4.人力资本理论的奠基人是(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A.舒尔茨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50.26pt">
                  <v:imagedata r:id="rId24" o:title=""/>
                </v:shape>
              </w:pict>
            </w:r>
            <w:r>
              <w:pict>
                <v:shape id="_x0000_i1050" type="#_x0000_t75" style="height:9pt;width:56.26pt">
                  <v:imagedata r:id="rId25" o:title=""/>
                </v:shape>
              </w:pict>
            </w:r>
            <w:r>
              <w:t>47.22%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B.斯特鲁米林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6.25pt">
                  <v:imagedata r:id="rId26" o:title=""/>
                </v:shape>
              </w:pict>
            </w:r>
            <w:r>
              <w:pict>
                <v:shape id="_x0000_i1052" type="#_x0000_t75" style="height:9pt;width:80.26pt">
                  <v:imagedata r:id="rId27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C.丹尼森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5.75pt">
                  <v:imagedata r:id="rId28" o:title=""/>
                </v:shape>
              </w:pict>
            </w:r>
            <w:r>
              <w:pict>
                <v:shape id="_x0000_i1054" type="#_x0000_t75" style="height:9pt;width:90.76pt">
                  <v:imagedata r:id="rId29" o:title=""/>
                </v:shape>
              </w:pict>
            </w:r>
            <w:r>
              <w:t>15.28%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D.马丁·特罗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2.75pt">
                  <v:imagedata r:id="rId30" o:title=""/>
                </v:shape>
              </w:pict>
            </w:r>
            <w:r>
              <w:pict>
                <v:shape id="_x0000_i1056" type="#_x0000_t75" style="height:9pt;width:93.76pt">
                  <v:imagedata r:id="rId31" o:title=""/>
                </v:shape>
              </w:pict>
            </w:r>
            <w:r>
              <w:t>12.5%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5.把一个社会文化共同体的文化传输到另一个社会文化共同体，这体现了教育文化功能的(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A.创造功能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.25pt">
                  <v:imagedata r:id="rId20" o:title=""/>
                </v:shape>
              </w:pict>
            </w:r>
            <w:r>
              <w:pict>
                <v:shape id="_x0000_i1058" type="#_x0000_t75" style="height:9pt;width:104.26pt">
                  <v:imagedata r:id="rId21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B.提升功能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3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C.交流功能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0.25pt">
                  <v:imagedata r:id="rId33" o:title=""/>
                </v:shape>
              </w:pict>
            </w:r>
            <w:r>
              <w:pict>
                <v:shape id="_x0000_i1061" type="#_x0000_t75" style="height:9pt;width:86.26pt">
                  <v:imagedata r:id="rId34" o:title=""/>
                </v:shape>
              </w:pict>
            </w:r>
            <w:r>
              <w:t>19.44%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D.传播功能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82.51pt">
                  <v:imagedata r:id="rId35" o:title=""/>
                </v:shape>
              </w:pict>
            </w:r>
            <w:r>
              <w:pict>
                <v:shape id="_x0000_i1063" type="#_x0000_t75" style="height:9pt;width:24pt">
                  <v:imagedata r:id="rId36" o:title=""/>
                </v:shape>
              </w:pict>
            </w:r>
            <w:r>
              <w:t>77.78%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77.78%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